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E9133" w14:textId="1DF17861" w:rsidR="00CE30E3" w:rsidRDefault="00CE30E3" w:rsidP="00CE30E3">
      <w:pPr>
        <w:pStyle w:val="HWDSpecL1"/>
      </w:pPr>
      <w:bookmarkStart w:id="0" w:name="_Toc144307938"/>
      <w:bookmarkStart w:id="1" w:name="_Hlk144308765"/>
      <w:r>
        <w:t>00 11 16 – NOTICE INVITING BIDS</w:t>
      </w:r>
      <w:bookmarkStart w:id="2" w:name="_docxtools_101"/>
      <w:bookmarkEnd w:id="0"/>
      <w:bookmarkEnd w:id="2"/>
    </w:p>
    <w:p w14:paraId="7655169C" w14:textId="77777777" w:rsidR="00CE30E3" w:rsidRDefault="00CE30E3" w:rsidP="009F604F">
      <w:pPr>
        <w:pStyle w:val="BodyText"/>
        <w:spacing w:after="160"/>
      </w:pPr>
      <w:r>
        <w:t>NOTICE IS HEREBY GIVEN that the City of Albany</w:t>
      </w:r>
      <w:r w:rsidRPr="004F2133">
        <w:t>,</w:t>
      </w:r>
      <w:r>
        <w:t xml:space="preserve"> a California Charter City, </w:t>
      </w:r>
      <w:r w:rsidRPr="004F2133">
        <w:t xml:space="preserve"> with its</w:t>
      </w:r>
      <w:r>
        <w:t xml:space="preserve"> principal place of business at 1000 San Pablo Ave Albany, CA 94706</w:t>
      </w:r>
      <w:r w:rsidRPr="004F2133">
        <w:t xml:space="preserve"> ("City")</w:t>
      </w:r>
      <w:r>
        <w:t xml:space="preserve"> invites and will receive sealed bids (“Bids”) up to but not later </w:t>
      </w:r>
      <w:r w:rsidRPr="006A12CF">
        <w:t xml:space="preserve">than </w:t>
      </w:r>
      <w:r w:rsidRPr="006A12CF">
        <w:rPr>
          <w:b/>
          <w:noProof/>
        </w:rPr>
        <w:t xml:space="preserve">2:00 </w:t>
      </w:r>
      <w:r w:rsidRPr="006A12CF">
        <w:rPr>
          <w:b/>
        </w:rPr>
        <w:t>p.m. on Tuesday, October 24, 2023</w:t>
      </w:r>
      <w:r w:rsidRPr="006A12CF">
        <w:t xml:space="preserve"> at City Hall, located at 1000 San Pablo Avenue City of Albany, California, for the furnishing to City of all labor, equipment, materials, tools, services, transportation, permits, utilities, and all other items necessary for</w:t>
      </w:r>
      <w:r>
        <w:t xml:space="preserve"> Contract Number C23-08:</w:t>
      </w:r>
      <w:r w:rsidRPr="006A12CF">
        <w:t xml:space="preserve"> </w:t>
      </w:r>
      <w:r w:rsidRPr="006A12CF">
        <w:rPr>
          <w:bCs/>
        </w:rPr>
        <w:t>San Pablo Avenue Pedestrian Improvement Project</w:t>
      </w:r>
      <w:r w:rsidRPr="006A12CF">
        <w:rPr>
          <w:b/>
        </w:rPr>
        <w:t xml:space="preserve"> </w:t>
      </w:r>
      <w:r w:rsidRPr="006A12CF">
        <w:t>(“Project”).  At said time, Bids will be publicly opened and read aloud. No electronic bidding. Bids received after said time shall be returned unopened. Bids shall be valid for a period of 90 calendar days</w:t>
      </w:r>
      <w:r>
        <w:t xml:space="preserve"> after the bid opening date.  </w:t>
      </w:r>
      <w:bookmarkStart w:id="3" w:name="_docxtools_102"/>
      <w:bookmarkEnd w:id="3"/>
    </w:p>
    <w:p w14:paraId="39514AA5" w14:textId="77777777" w:rsidR="00CE30E3" w:rsidRDefault="00CE30E3" w:rsidP="009F604F">
      <w:pPr>
        <w:pStyle w:val="BodyText"/>
        <w:spacing w:after="160"/>
        <w:rPr>
          <w:bCs/>
        </w:rPr>
      </w:pPr>
      <w:bookmarkStart w:id="4" w:name="_docxtools_103"/>
      <w:bookmarkEnd w:id="4"/>
      <w:r w:rsidRPr="003702FF">
        <w:rPr>
          <w:bCs/>
        </w:rPr>
        <w:t>General work description</w:t>
      </w:r>
      <w:r>
        <w:rPr>
          <w:bCs/>
        </w:rPr>
        <w:t xml:space="preserve">: </w:t>
      </w:r>
      <w:r w:rsidRPr="00B76A8A">
        <w:rPr>
          <w:bCs/>
        </w:rPr>
        <w:t>Construct</w:t>
      </w:r>
      <w:r>
        <w:rPr>
          <w:bCs/>
        </w:rPr>
        <w:t xml:space="preserve"> ADA compliant curb ramps, pedestrian refuge islands, and other pedestrian improvements at various intersections along</w:t>
      </w:r>
      <w:r w:rsidRPr="00B76A8A">
        <w:rPr>
          <w:bCs/>
        </w:rPr>
        <w:t xml:space="preserve"> San Pablo Avenue</w:t>
      </w:r>
      <w:r>
        <w:rPr>
          <w:bCs/>
        </w:rPr>
        <w:t xml:space="preserve">. </w:t>
      </w:r>
      <w:r w:rsidRPr="00B76A8A">
        <w:rPr>
          <w:bCs/>
        </w:rPr>
        <w:t>The project will also consist of traffic signal modifications, signing and striping, installation of valley gutters, curb and gutter modifications, conform paving operations, and adjustment of various utility frame and covers to grade.</w:t>
      </w:r>
    </w:p>
    <w:p w14:paraId="7EA96C09" w14:textId="77777777" w:rsidR="00CE30E3" w:rsidRPr="00FB457E" w:rsidRDefault="00CE30E3" w:rsidP="009F604F">
      <w:pPr>
        <w:spacing w:after="160"/>
        <w:ind w:right="-360"/>
        <w:rPr>
          <w:bCs/>
        </w:rPr>
      </w:pPr>
      <w:bookmarkStart w:id="5" w:name="_docxtools_104"/>
      <w:bookmarkStart w:id="6" w:name="_docxtools_105"/>
      <w:bookmarkEnd w:id="5"/>
      <w:bookmarkEnd w:id="6"/>
      <w:r w:rsidRPr="00FB457E">
        <w:rPr>
          <w:bCs/>
        </w:rPr>
        <w:t>The DBE contract goal is 18 percent.</w:t>
      </w:r>
    </w:p>
    <w:p w14:paraId="44A29C24" w14:textId="77777777" w:rsidR="00CE30E3" w:rsidRDefault="00CE30E3" w:rsidP="009F604F">
      <w:pPr>
        <w:pStyle w:val="BodyText"/>
        <w:spacing w:after="160"/>
        <w:rPr>
          <w:bCs/>
        </w:rPr>
      </w:pPr>
      <w:r>
        <w:rPr>
          <w:bCs/>
        </w:rPr>
        <w:t>Federal-aid project no.: STPL 5178 (016)</w:t>
      </w:r>
    </w:p>
    <w:p w14:paraId="2D4CE91F" w14:textId="77777777" w:rsidR="00CE30E3" w:rsidRDefault="00CE30E3" w:rsidP="009F604F">
      <w:pPr>
        <w:pStyle w:val="BodyText"/>
        <w:spacing w:after="160"/>
        <w:rPr>
          <w:bCs/>
        </w:rPr>
      </w:pPr>
      <w:r>
        <w:rPr>
          <w:bCs/>
        </w:rPr>
        <w:t>For the Federal training program, the number of trainees or apprentices is 0.</w:t>
      </w:r>
    </w:p>
    <w:p w14:paraId="7A980E25" w14:textId="77777777" w:rsidR="00CE30E3" w:rsidRDefault="00CE30E3" w:rsidP="009F604F">
      <w:pPr>
        <w:pStyle w:val="BodyText"/>
        <w:spacing w:after="160"/>
        <w:rPr>
          <w:bCs/>
        </w:rPr>
      </w:pPr>
      <w:r>
        <w:rPr>
          <w:bCs/>
        </w:rPr>
        <w:t>Bids must be on a unit price basis.</w:t>
      </w:r>
    </w:p>
    <w:p w14:paraId="36639103" w14:textId="77777777" w:rsidR="00CE30E3" w:rsidRDefault="00CE30E3" w:rsidP="009F604F">
      <w:pPr>
        <w:pStyle w:val="BodyText"/>
        <w:spacing w:after="160"/>
        <w:rPr>
          <w:bCs/>
        </w:rPr>
      </w:pPr>
      <w:r>
        <w:rPr>
          <w:bCs/>
        </w:rPr>
        <w:t>Complete the work within 90 working days.</w:t>
      </w:r>
    </w:p>
    <w:p w14:paraId="24BEE567" w14:textId="77777777" w:rsidR="00CE30E3" w:rsidRDefault="00CE30E3" w:rsidP="009F604F">
      <w:pPr>
        <w:pStyle w:val="BodyText"/>
        <w:spacing w:after="160"/>
        <w:rPr>
          <w:bCs/>
        </w:rPr>
      </w:pPr>
      <w:r>
        <w:rPr>
          <w:bCs/>
        </w:rPr>
        <w:t xml:space="preserve">The estimated cost of the project is </w:t>
      </w:r>
      <w:r w:rsidRPr="00C01369">
        <w:rPr>
          <w:bCs/>
        </w:rPr>
        <w:t>$1,230,160</w:t>
      </w:r>
      <w:r>
        <w:rPr>
          <w:bCs/>
        </w:rPr>
        <w:t>.00</w:t>
      </w:r>
    </w:p>
    <w:p w14:paraId="4A735491" w14:textId="18AB70E7" w:rsidR="00CE30E3" w:rsidRDefault="00CE30E3" w:rsidP="009F604F">
      <w:pPr>
        <w:pStyle w:val="BodyText"/>
        <w:spacing w:after="160"/>
      </w:pPr>
      <w:r w:rsidRPr="00B76A8A">
        <w:t xml:space="preserve">The plans, specifications, bid forms and contract documents for the Project, and any addenda thereto (“Contract Documents”) </w:t>
      </w:r>
      <w:r>
        <w:t>are available</w:t>
      </w:r>
      <w:r w:rsidRPr="00B76A8A">
        <w:t xml:space="preserve"> from BPXpress Reprographics in Richmond, California</w:t>
      </w:r>
      <w:r>
        <w:t>,</w:t>
      </w:r>
      <w:r w:rsidRPr="00B76A8A">
        <w:t xml:space="preserve"> by logging on to </w:t>
      </w:r>
      <w:hyperlink r:id="rId7" w:tgtFrame="_blank" w:history="1">
        <w:r w:rsidRPr="00B76A8A">
          <w:rPr>
            <w:rStyle w:val="Hyperlink"/>
          </w:rPr>
          <w:t>www.blueprintexpress.com/albany</w:t>
        </w:r>
      </w:hyperlink>
      <w:r w:rsidRPr="00B76A8A">
        <w:t>, by email to </w:t>
      </w:r>
      <w:hyperlink r:id="rId8" w:tgtFrame="_blank" w:history="1">
        <w:r w:rsidRPr="00B76A8A">
          <w:rPr>
            <w:rStyle w:val="Hyperlink"/>
          </w:rPr>
          <w:t>Richmond@bpxpress.com</w:t>
        </w:r>
      </w:hyperlink>
      <w:r w:rsidRPr="00B76A8A">
        <w:t xml:space="preserve">, or by calling 510-559-8299. </w:t>
      </w:r>
      <w:r>
        <w:t>A hard copy of the Contract documents may be obtained from BPXpress Reprographics for a nonrefundable payment of $150.00 per set.</w:t>
      </w:r>
      <w:r w:rsidRPr="00B76A8A">
        <w:t xml:space="preserve"> </w:t>
      </w:r>
      <w:r>
        <w:t>Only bidders that download or purchase a full set of the Contract Documents from BPXpress Reprographics will be added to the planholder list maintained by BPXpress Reprographics to receive addenda notifications. City does not maintain a separate planholder list.</w:t>
      </w:r>
      <w:bookmarkStart w:id="7" w:name="_docxtools_106"/>
      <w:bookmarkEnd w:id="7"/>
    </w:p>
    <w:p w14:paraId="458028B3" w14:textId="77777777" w:rsidR="00CE30E3" w:rsidRDefault="00CE30E3" w:rsidP="009F604F">
      <w:pPr>
        <w:pStyle w:val="BodyText"/>
        <w:spacing w:after="160"/>
        <w:rPr>
          <w:b/>
        </w:rPr>
      </w:pPr>
      <w:r w:rsidRPr="00B76A8A">
        <w:t xml:space="preserve">It is the responsibility of each prospective Bidder to download and print all Contract Documents for review and to verify the completeness of Contract Documents before submitting a bid.  Any addenda will be posted on </w:t>
      </w:r>
      <w:hyperlink r:id="rId9" w:tgtFrame="_blank" w:history="1">
        <w:r w:rsidRPr="00735536">
          <w:rPr>
            <w:rStyle w:val="Hyperlink"/>
          </w:rPr>
          <w:t>www.blueprintexpress.com/albany</w:t>
        </w:r>
      </w:hyperlink>
      <w:r w:rsidRPr="00B76A8A">
        <w:t xml:space="preserve">.  It is the responsibility of each prospective Bidder to check </w:t>
      </w:r>
      <w:hyperlink r:id="rId10" w:tgtFrame="_blank" w:history="1">
        <w:r w:rsidRPr="00735536">
          <w:rPr>
            <w:rStyle w:val="Hyperlink"/>
          </w:rPr>
          <w:t>www.blueprintexpress.com/albany</w:t>
        </w:r>
      </w:hyperlink>
      <w:r w:rsidRPr="00B76A8A" w:rsidDel="00735536">
        <w:t xml:space="preserve"> </w:t>
      </w:r>
      <w:r w:rsidRPr="00B76A8A">
        <w:t xml:space="preserve"> on a daily basis through the close of receiving bids for any applicable addenda or updates. City does not assume any liability or responsibility based on any defective or incomplete copying, excerpting, scanning, faxing, downloading or printing of the Contract Documents. Information on </w:t>
      </w:r>
      <w:hyperlink r:id="rId11" w:tgtFrame="_blank" w:history="1">
        <w:r w:rsidRPr="00735536">
          <w:rPr>
            <w:rStyle w:val="Hyperlink"/>
          </w:rPr>
          <w:t>www.blueprintexpress.com/albany</w:t>
        </w:r>
      </w:hyperlink>
      <w:r w:rsidRPr="00B76A8A" w:rsidDel="00735536">
        <w:t xml:space="preserve"> </w:t>
      </w:r>
      <w:r w:rsidRPr="00B76A8A">
        <w:t xml:space="preserve"> may change without notice to prospective Bidders. The Contract Documents shall supersede any information posted or transmitted by </w:t>
      </w:r>
      <w:hyperlink r:id="rId12" w:tgtFrame="_blank" w:history="1">
        <w:r w:rsidRPr="00735536">
          <w:rPr>
            <w:rStyle w:val="Hyperlink"/>
          </w:rPr>
          <w:t>www.blueprintexpress.com/albany</w:t>
        </w:r>
      </w:hyperlink>
      <w:r w:rsidRPr="00B76A8A">
        <w:rPr>
          <w:b/>
        </w:rPr>
        <w:t>.</w:t>
      </w:r>
      <w:bookmarkStart w:id="8" w:name="_docxtools_107"/>
      <w:bookmarkEnd w:id="8"/>
    </w:p>
    <w:p w14:paraId="636698E5" w14:textId="05579B15" w:rsidR="00CE30E3" w:rsidRDefault="00CE30E3" w:rsidP="009F604F">
      <w:pPr>
        <w:pStyle w:val="BodyText"/>
        <w:spacing w:after="160"/>
      </w:pPr>
      <w:r>
        <w:t xml:space="preserve">Each Bid shall be accompanied by cash, a certified or cashier’s check, or bid bond secured from a surety </w:t>
      </w:r>
      <w:r w:rsidRPr="006A12CF">
        <w:t>company satisfactory to the City, the amount of which shall not be less than ten percent (10%) of the submitted Total Bid Price (inclusive of alternate bid items), made payable to the City of Albany, California as bid security.  The bid security shall be provided as a guarantee that within ten (10) days after City provides the successful Bidder the Notice</w:t>
      </w:r>
      <w:r>
        <w:t xml:space="preserve"> of Award, the successful Bidder </w:t>
      </w:r>
      <w:r>
        <w:lastRenderedPageBreak/>
        <w:t>will enter into a contract and provide the necessary bonds and certificates of insurance.  The bid security will be declared forfeited if the successful Bidder fails to comply within said time.  No interest will be paid on funds deposited with City.</w:t>
      </w:r>
      <w:bookmarkStart w:id="9" w:name="_docxtools_108"/>
      <w:bookmarkEnd w:id="9"/>
    </w:p>
    <w:p w14:paraId="720481F9" w14:textId="77777777" w:rsidR="00CE30E3" w:rsidRDefault="00CE30E3" w:rsidP="009F604F">
      <w:pPr>
        <w:pStyle w:val="BodyText"/>
        <w:spacing w:after="160"/>
      </w:pPr>
      <w:r w:rsidRPr="00285476">
        <w:t xml:space="preserve">A </w:t>
      </w:r>
      <w:r w:rsidRPr="006A12CF">
        <w:t>NON-MANDATORY</w:t>
      </w:r>
      <w:r w:rsidRPr="00285476">
        <w:t xml:space="preserve"> Pre-Bid Conference is scheduled for </w:t>
      </w:r>
      <w:r w:rsidRPr="00C01369">
        <w:t>October 5, 2023 at 10:00 a.m</w:t>
      </w:r>
      <w:r>
        <w:t xml:space="preserve">. </w:t>
      </w:r>
      <w:r w:rsidRPr="00285476">
        <w:t xml:space="preserve">to review the Project's existing conditions at </w:t>
      </w:r>
      <w:r w:rsidRPr="006A12CF">
        <w:t>540 Cleveland Avenue, Albany, California</w:t>
      </w:r>
      <w:r w:rsidRPr="00285476">
        <w:t xml:space="preserve">.  Representatives of </w:t>
      </w:r>
      <w:r>
        <w:t>City</w:t>
      </w:r>
      <w:r w:rsidRPr="00285476">
        <w:t xml:space="preserve"> and consulting engin</w:t>
      </w:r>
      <w:r>
        <w:t>eers, if any, will be present</w:t>
      </w:r>
      <w:r w:rsidRPr="00285476">
        <w:t xml:space="preserve">. </w:t>
      </w:r>
      <w:bookmarkStart w:id="10" w:name="_docxtools_109"/>
      <w:bookmarkEnd w:id="10"/>
    </w:p>
    <w:p w14:paraId="31FB262B" w14:textId="77777777" w:rsidR="00CE30E3" w:rsidRDefault="00CE30E3" w:rsidP="009F604F">
      <w:pPr>
        <w:pStyle w:val="BodyText"/>
        <w:spacing w:after="160"/>
      </w:pPr>
      <w:r>
        <w:t>The successful Bidder will be required to furnish a faithful performance bond and a labor and material payment bond each in an amount equal to one hundred percent (100%) of the Contract Price.  Each bond shall be in the forms set forth herein, shall be secured from a surety company that meets all State of California bonding requirements, as defined in California Code of Civil Procedure Section 995.120, and that is a California admitted surety insurer.</w:t>
      </w:r>
      <w:bookmarkStart w:id="11" w:name="_docxtools_110"/>
      <w:bookmarkEnd w:id="11"/>
    </w:p>
    <w:p w14:paraId="0AF40B14" w14:textId="77777777" w:rsidR="00CE30E3" w:rsidRDefault="00CE30E3" w:rsidP="009F604F">
      <w:pPr>
        <w:pStyle w:val="BodyText"/>
        <w:spacing w:after="160"/>
      </w:pPr>
      <w:r>
        <w:t>Pursuant to Section 22300 of the Public Contract Code of the State of California, the successful Bidder may substitute certain securities for funds withheld by City to ensure its performance under the Contract.</w:t>
      </w:r>
      <w:bookmarkStart w:id="12" w:name="_docxtools_111"/>
      <w:bookmarkEnd w:id="12"/>
    </w:p>
    <w:p w14:paraId="4F59AE5E" w14:textId="77777777" w:rsidR="00CE30E3" w:rsidRPr="00775A8A" w:rsidRDefault="00CE30E3" w:rsidP="009F604F">
      <w:pPr>
        <w:pStyle w:val="BodyText"/>
        <w:spacing w:after="160"/>
      </w:pPr>
      <w:r>
        <w:t>Prevailing wages are required on this Contract. Pursuant to Labor Code Section 1773, City has obtained the prevailing rate of per diem wages and the prevailing wage rate for holiday and overtime work applicable in Alameda County from the Director of the Department of Industrial Relations for each craft, classification, or type of worker needed to execute this contract.  A copy of these prevailing wage rates may be obtained via the internet at</w:t>
      </w:r>
      <w:r w:rsidRPr="006A12CF">
        <w:t xml:space="preserve">: </w:t>
      </w:r>
      <w:r w:rsidRPr="006A12CF">
        <w:rPr>
          <w:u w:val="single"/>
        </w:rPr>
        <w:t>www.dir.ca.gov.</w:t>
      </w:r>
      <w:bookmarkStart w:id="13" w:name="_docxtools_112"/>
      <w:bookmarkEnd w:id="13"/>
    </w:p>
    <w:p w14:paraId="3E833D84" w14:textId="77777777" w:rsidR="00CE30E3" w:rsidRPr="00E90EB6" w:rsidRDefault="00CE30E3" w:rsidP="009F604F">
      <w:pPr>
        <w:pStyle w:val="BodyText"/>
        <w:spacing w:after="160"/>
      </w:pPr>
      <w:r>
        <w:t xml:space="preserve">In addition, a copy of the prevailing rate of per diem wages is available at City’s Department of Public Works and shall be made available to interested parties upon request.  The successful Bidder shall post a copy of the prevailing wage rates at each job site.  It shall be mandatory upon the Bidder to whom the Contract is awarded, and upon any subcontractors, to comply with all Labor Code provisions, which include but are not limited to the payment of not less than the said specified prevailing wage rates to all workers employed by them in the execution of the Contract, employment of apprentices, hours of labor and debarment of contractors and subcontractors.  </w:t>
      </w:r>
      <w:bookmarkStart w:id="14" w:name="_docxtools_113"/>
      <w:bookmarkEnd w:id="14"/>
    </w:p>
    <w:p w14:paraId="4BDBC3F9" w14:textId="6BFCC81D" w:rsidR="00CE30E3" w:rsidRDefault="00CE30E3" w:rsidP="009F604F">
      <w:pPr>
        <w:pStyle w:val="BodyText"/>
        <w:spacing w:after="160"/>
      </w:pPr>
      <w:r w:rsidRPr="00E9418C">
        <w:t>Pursuant to Labor Code sections 1725.5 and 1771.1, all contractors and subcontractors that wish to enter into a contract to perform public work must be registered with the Department of Industrial Relations at the time of award.  No contract will be entered into without proof of the contractor’s and subcontractors’ current registration with the Department of Industrial Relations to perform public work.  If awarded a contract, the Bidder and its subcontractors, of any tier, shall maintain active registration with the Department of Industrial Relations for the duration of the Project.</w:t>
      </w:r>
      <w:r>
        <w:t xml:space="preserve"> </w:t>
      </w:r>
      <w:bookmarkStart w:id="15" w:name="_docxtools_114"/>
      <w:bookmarkEnd w:id="15"/>
    </w:p>
    <w:p w14:paraId="48FA0B30" w14:textId="77777777" w:rsidR="00CE30E3" w:rsidRDefault="00CE30E3" w:rsidP="009F604F">
      <w:pPr>
        <w:pStyle w:val="BodyText"/>
        <w:spacing w:after="160"/>
      </w:pPr>
      <w:r w:rsidRPr="00EE64ED">
        <w:t xml:space="preserve">This Project is subject to compliance monitoring and enforcement by the Department of Industrial Relations.  In bidding on this </w:t>
      </w:r>
      <w:r>
        <w:t>P</w:t>
      </w:r>
      <w:r w:rsidRPr="00EE64ED">
        <w:t xml:space="preserve">roject, it shall be the </w:t>
      </w:r>
      <w:r>
        <w:t>B</w:t>
      </w:r>
      <w:r w:rsidRPr="00EE64ED">
        <w:t xml:space="preserve">idder’s sole responsibility to evaluate and include the cost of complying with all labor compliance requirements under this </w:t>
      </w:r>
      <w:r>
        <w:t>C</w:t>
      </w:r>
      <w:r w:rsidRPr="00EE64ED">
        <w:t xml:space="preserve">ontract and applicable law in its </w:t>
      </w:r>
      <w:r>
        <w:t>B</w:t>
      </w:r>
      <w:r w:rsidRPr="00EE64ED">
        <w:t>id.</w:t>
      </w:r>
      <w:bookmarkStart w:id="16" w:name="_docxtools_115"/>
      <w:bookmarkEnd w:id="16"/>
    </w:p>
    <w:p w14:paraId="3B8C0136" w14:textId="77777777" w:rsidR="00CE30E3" w:rsidRDefault="00CE30E3" w:rsidP="009F604F">
      <w:pPr>
        <w:pStyle w:val="BodyText"/>
        <w:spacing w:after="160"/>
      </w:pPr>
      <w:r w:rsidRPr="00E9418C">
        <w:t xml:space="preserve">The federal minimum wage rates for this Project are predetermined by the United States Secretary of Labor.  These rates are available directly from the Department of Labor at </w:t>
      </w:r>
      <w:hyperlink r:id="rId13" w:history="1">
        <w:r w:rsidRPr="006A12CF">
          <w:rPr>
            <w:rStyle w:val="Hyperlink"/>
          </w:rPr>
          <w:t>http://www.wdol.gov</w:t>
        </w:r>
      </w:hyperlink>
      <w:r w:rsidRPr="006A12CF">
        <w:t>.  If there is a difference between the minimum wage rates predetermined by the Secretary of Labor and the general prevailing wage rates determined by the Director of the California Department of Industrial Relations (http://www.dir.ca.gov)</w:t>
      </w:r>
      <w:r w:rsidRPr="00E9418C">
        <w:t xml:space="preserve"> for similar classifications of labor, the contractor and its subcontractors shall pay not less than the higher wage rate. </w:t>
      </w:r>
    </w:p>
    <w:p w14:paraId="0517471E" w14:textId="77777777" w:rsidR="00CE30E3" w:rsidRDefault="00CE30E3" w:rsidP="009F604F">
      <w:pPr>
        <w:pStyle w:val="BodyText"/>
        <w:spacing w:after="160"/>
      </w:pPr>
      <w:r>
        <w:t>Unless otherwise provided in the Instructions to Bidders, each Bidder shall be a licensed contractor pursuant to sections 7000 et seq. of the Business and Professions Code throughout the time it submits its Bid and for the duration of the C</w:t>
      </w:r>
      <w:r w:rsidRPr="00EA5A2A">
        <w:t>ontract</w:t>
      </w:r>
      <w:bookmarkStart w:id="17" w:name="_docxtools_116"/>
      <w:bookmarkEnd w:id="17"/>
      <w:r>
        <w:t xml:space="preserve">. </w:t>
      </w:r>
      <w:r w:rsidRPr="006A12CF">
        <w:t>The contractor mush have a Class A license</w:t>
      </w:r>
      <w:r>
        <w:t>.</w:t>
      </w:r>
    </w:p>
    <w:p w14:paraId="690FFCD9" w14:textId="4B65C4DB" w:rsidR="00CE30E3" w:rsidRDefault="00CE30E3" w:rsidP="009F604F">
      <w:pPr>
        <w:spacing w:after="160"/>
        <w:ind w:right="-360"/>
      </w:pPr>
      <w:r>
        <w:lastRenderedPageBreak/>
        <w:t>Substitution requests shall be made within 35 calendar days after the award of the Contract.  Pursuant to Public Contract Code Section 3400(b), City may make findings designating that certain additional materials, methods or services by specific brand or trade name other than those listed in the Contract Documents be used for the Project.  Such findings, if any, as well as the materials, methods or services and their specific brand or trade names that must be used for the Project may be found in the Special Conditions.</w:t>
      </w:r>
      <w:bookmarkStart w:id="18" w:name="_docxtools_117"/>
      <w:bookmarkEnd w:id="18"/>
      <w:r>
        <w:t xml:space="preserve"> Bidders are advised that, as required by federal law, the State has established a statewide overall DBE goal.  This City federal-aid contract is considered to be part of the statewide overall DBE goal.  The City is required to report to Caltrans on DBE participation for all federal-aid contracts each year so that attainment efforts may be evaluated.</w:t>
      </w:r>
    </w:p>
    <w:p w14:paraId="2563FE74" w14:textId="77777777" w:rsidR="00CE30E3" w:rsidRPr="00FB457E" w:rsidRDefault="00CE30E3" w:rsidP="009F604F">
      <w:pPr>
        <w:spacing w:after="160"/>
        <w:ind w:right="-360"/>
      </w:pPr>
      <w:r>
        <w:t xml:space="preserve"> </w:t>
      </w:r>
    </w:p>
    <w:p w14:paraId="08257805" w14:textId="77777777" w:rsidR="00CE30E3" w:rsidRDefault="00CE30E3" w:rsidP="009F604F">
      <w:pPr>
        <w:pStyle w:val="BodyText"/>
        <w:spacing w:after="160"/>
      </w:pPr>
      <w:r w:rsidRPr="001E1338">
        <w:t xml:space="preserve">The City’s website located here: </w:t>
      </w:r>
      <w:hyperlink r:id="rId14" w:history="1">
        <w:r w:rsidRPr="004D2C37">
          <w:rPr>
            <w:rStyle w:val="Hyperlink"/>
          </w:rPr>
          <w:t>https://www.albanyca.org/departments/public-works</w:t>
        </w:r>
      </w:hyperlink>
      <w:r>
        <w:t xml:space="preserve"> </w:t>
      </w:r>
      <w:r w:rsidRPr="001E1338">
        <w:t>provides resources to aid prospective bidders and subcontractors in complying with the City’s DBE Program</w:t>
      </w:r>
      <w:r>
        <w:t>.</w:t>
      </w:r>
    </w:p>
    <w:p w14:paraId="2079FD0F" w14:textId="77777777" w:rsidR="00CE30E3" w:rsidRPr="002C0D4B" w:rsidRDefault="00CE30E3" w:rsidP="009F604F">
      <w:pPr>
        <w:pStyle w:val="BodyText"/>
        <w:spacing w:after="160"/>
      </w:pPr>
      <w:r w:rsidRPr="00B76A8A">
        <w:t>The following Caltrans forms: Exhibit 15-G, Exhibit 15-H, and Exhibit 12-B must be received by the Agency no later than 4:00 p.m. on the 5th calendar day after bid opening. Failure to submit required DBE forms on time may result in the City deeming the bid non-responsive.</w:t>
      </w:r>
    </w:p>
    <w:p w14:paraId="02EDE67E" w14:textId="77777777" w:rsidR="00CE30E3" w:rsidRDefault="00CE30E3" w:rsidP="009F604F">
      <w:pPr>
        <w:pStyle w:val="BodyText"/>
        <w:spacing w:after="160"/>
      </w:pPr>
      <w:bookmarkStart w:id="19" w:name="_docxtools_118"/>
      <w:bookmarkStart w:id="20" w:name="_docxtools_119"/>
      <w:bookmarkEnd w:id="19"/>
      <w:bookmarkEnd w:id="20"/>
      <w:r>
        <w:t xml:space="preserve">City shall award the contract for the Project to the lowest responsive, responsible Bidder as determined by City from the </w:t>
      </w:r>
      <w:r w:rsidRPr="006A12CF">
        <w:t>BASE BID ALONE</w:t>
      </w:r>
      <w:r>
        <w:t>.  City reserves the right to reject any or all Bids or to waive any irregularities or informalities in any Bids or in the bidding process.</w:t>
      </w:r>
      <w:bookmarkStart w:id="21" w:name="_docxtools_120"/>
      <w:bookmarkEnd w:id="21"/>
    </w:p>
    <w:p w14:paraId="7BB03288" w14:textId="77777777" w:rsidR="00CE30E3" w:rsidRDefault="00CE30E3" w:rsidP="009F604F">
      <w:pPr>
        <w:pStyle w:val="BodyText"/>
        <w:spacing w:after="160"/>
      </w:pPr>
      <w:r>
        <w:t>The estimated project schedule is as follows:</w:t>
      </w:r>
    </w:p>
    <w:tbl>
      <w:tblPr>
        <w:tblStyle w:val="TableGrid"/>
        <w:tblW w:w="0" w:type="auto"/>
        <w:tblLook w:val="04A0" w:firstRow="1" w:lastRow="0" w:firstColumn="1" w:lastColumn="0" w:noHBand="0" w:noVBand="1"/>
      </w:tblPr>
      <w:tblGrid>
        <w:gridCol w:w="2965"/>
        <w:gridCol w:w="2070"/>
        <w:gridCol w:w="4315"/>
      </w:tblGrid>
      <w:tr w:rsidR="00CE30E3" w14:paraId="7632DB8B" w14:textId="77777777" w:rsidTr="00D657C0">
        <w:trPr>
          <w:trHeight w:val="432"/>
        </w:trPr>
        <w:tc>
          <w:tcPr>
            <w:tcW w:w="2965" w:type="dxa"/>
            <w:vAlign w:val="center"/>
          </w:tcPr>
          <w:p w14:paraId="318F858B" w14:textId="77777777" w:rsidR="00CE30E3" w:rsidRPr="00C01369" w:rsidRDefault="00CE30E3" w:rsidP="00D657C0">
            <w:pPr>
              <w:pStyle w:val="BodyText"/>
              <w:spacing w:after="0"/>
              <w:jc w:val="center"/>
              <w:rPr>
                <w:b/>
                <w:bCs/>
              </w:rPr>
            </w:pPr>
            <w:r w:rsidRPr="00C01369">
              <w:rPr>
                <w:b/>
                <w:bCs/>
              </w:rPr>
              <w:t>Milestone</w:t>
            </w:r>
          </w:p>
        </w:tc>
        <w:tc>
          <w:tcPr>
            <w:tcW w:w="2070" w:type="dxa"/>
            <w:vAlign w:val="center"/>
          </w:tcPr>
          <w:p w14:paraId="6A02F2E5" w14:textId="77777777" w:rsidR="00CE30E3" w:rsidRPr="00C01369" w:rsidRDefault="00CE30E3" w:rsidP="00D657C0">
            <w:pPr>
              <w:pStyle w:val="BodyText"/>
              <w:spacing w:after="0"/>
              <w:jc w:val="center"/>
              <w:rPr>
                <w:b/>
                <w:bCs/>
              </w:rPr>
            </w:pPr>
            <w:r w:rsidRPr="00C01369">
              <w:rPr>
                <w:b/>
                <w:bCs/>
              </w:rPr>
              <w:t>Date</w:t>
            </w:r>
          </w:p>
        </w:tc>
        <w:tc>
          <w:tcPr>
            <w:tcW w:w="4315" w:type="dxa"/>
            <w:vAlign w:val="center"/>
          </w:tcPr>
          <w:p w14:paraId="0E2D2D63" w14:textId="77777777" w:rsidR="00CE30E3" w:rsidRPr="00C01369" w:rsidRDefault="00CE30E3" w:rsidP="00D657C0">
            <w:pPr>
              <w:pStyle w:val="BodyText"/>
              <w:spacing w:after="0"/>
              <w:jc w:val="center"/>
              <w:rPr>
                <w:b/>
                <w:bCs/>
              </w:rPr>
            </w:pPr>
            <w:r w:rsidRPr="00C01369">
              <w:rPr>
                <w:b/>
                <w:bCs/>
              </w:rPr>
              <w:t>Comments</w:t>
            </w:r>
          </w:p>
        </w:tc>
      </w:tr>
      <w:tr w:rsidR="00CE30E3" w14:paraId="325A11C9" w14:textId="77777777" w:rsidTr="00D657C0">
        <w:trPr>
          <w:trHeight w:val="432"/>
        </w:trPr>
        <w:tc>
          <w:tcPr>
            <w:tcW w:w="2965" w:type="dxa"/>
            <w:vAlign w:val="center"/>
          </w:tcPr>
          <w:p w14:paraId="181D66A0" w14:textId="77777777" w:rsidR="00CE30E3" w:rsidRPr="007D38D9" w:rsidRDefault="00CE30E3" w:rsidP="00D657C0">
            <w:pPr>
              <w:pStyle w:val="BodyText"/>
              <w:spacing w:after="0"/>
              <w:jc w:val="left"/>
            </w:pPr>
            <w:r>
              <w:t>Pre-Bid Meeting</w:t>
            </w:r>
          </w:p>
        </w:tc>
        <w:tc>
          <w:tcPr>
            <w:tcW w:w="2070" w:type="dxa"/>
            <w:vAlign w:val="center"/>
          </w:tcPr>
          <w:p w14:paraId="3AF6B6CE" w14:textId="77777777" w:rsidR="00CE30E3" w:rsidRPr="007D38D9" w:rsidRDefault="00CE30E3" w:rsidP="00D657C0">
            <w:pPr>
              <w:pStyle w:val="BodyText"/>
              <w:spacing w:after="0"/>
              <w:jc w:val="left"/>
            </w:pPr>
            <w:r>
              <w:t>October 5, 2023</w:t>
            </w:r>
          </w:p>
        </w:tc>
        <w:tc>
          <w:tcPr>
            <w:tcW w:w="4315" w:type="dxa"/>
            <w:vAlign w:val="center"/>
          </w:tcPr>
          <w:p w14:paraId="25CFDCE5" w14:textId="77777777" w:rsidR="00CE30E3" w:rsidRPr="007D38D9" w:rsidRDefault="00CE30E3" w:rsidP="00D657C0">
            <w:pPr>
              <w:pStyle w:val="BodyText"/>
              <w:spacing w:after="0"/>
              <w:jc w:val="left"/>
            </w:pPr>
            <w:r>
              <w:t>Non-mandatory; 10:00 a.m. at 540 Cleveland Avenue, Albany, CA</w:t>
            </w:r>
          </w:p>
        </w:tc>
      </w:tr>
      <w:tr w:rsidR="00CE30E3" w14:paraId="502A7066" w14:textId="77777777" w:rsidTr="00D657C0">
        <w:trPr>
          <w:trHeight w:val="432"/>
        </w:trPr>
        <w:tc>
          <w:tcPr>
            <w:tcW w:w="2965" w:type="dxa"/>
            <w:vAlign w:val="center"/>
          </w:tcPr>
          <w:p w14:paraId="446928A2" w14:textId="77777777" w:rsidR="00CE30E3" w:rsidRPr="007D38D9" w:rsidRDefault="00CE30E3" w:rsidP="00D657C0">
            <w:pPr>
              <w:pStyle w:val="BodyText"/>
              <w:spacing w:after="0"/>
              <w:jc w:val="left"/>
            </w:pPr>
            <w:r>
              <w:t>Deadline to Submit Request for Information (RFI)</w:t>
            </w:r>
          </w:p>
        </w:tc>
        <w:tc>
          <w:tcPr>
            <w:tcW w:w="2070" w:type="dxa"/>
            <w:vAlign w:val="center"/>
          </w:tcPr>
          <w:p w14:paraId="114895D0" w14:textId="77777777" w:rsidR="00CE30E3" w:rsidRPr="007D38D9" w:rsidRDefault="00CE30E3" w:rsidP="00D657C0">
            <w:pPr>
              <w:pStyle w:val="BodyText"/>
              <w:spacing w:after="0"/>
              <w:jc w:val="left"/>
            </w:pPr>
            <w:r>
              <w:t>October 12, 2023</w:t>
            </w:r>
          </w:p>
        </w:tc>
        <w:tc>
          <w:tcPr>
            <w:tcW w:w="4315" w:type="dxa"/>
            <w:vAlign w:val="center"/>
          </w:tcPr>
          <w:p w14:paraId="28A80091" w14:textId="77777777" w:rsidR="00CE30E3" w:rsidRPr="007D38D9" w:rsidRDefault="00CE30E3" w:rsidP="00D657C0">
            <w:pPr>
              <w:pStyle w:val="BodyText"/>
              <w:spacing w:after="0"/>
              <w:jc w:val="left"/>
            </w:pPr>
            <w:r>
              <w:t xml:space="preserve">Via email to </w:t>
            </w:r>
            <w:r w:rsidRPr="00A870FC">
              <w:t>acarrillo@albanyca.org</w:t>
            </w:r>
          </w:p>
        </w:tc>
      </w:tr>
      <w:tr w:rsidR="00CE30E3" w14:paraId="6C832AC1" w14:textId="77777777" w:rsidTr="00D657C0">
        <w:trPr>
          <w:trHeight w:val="432"/>
        </w:trPr>
        <w:tc>
          <w:tcPr>
            <w:tcW w:w="2965" w:type="dxa"/>
            <w:vAlign w:val="center"/>
          </w:tcPr>
          <w:p w14:paraId="0726DBF7" w14:textId="77777777" w:rsidR="00CE30E3" w:rsidRPr="007D38D9" w:rsidRDefault="00CE30E3" w:rsidP="00D657C0">
            <w:pPr>
              <w:pStyle w:val="BodyText"/>
              <w:spacing w:after="0"/>
              <w:jc w:val="left"/>
            </w:pPr>
            <w:r>
              <w:t>City will Respond to RFI</w:t>
            </w:r>
          </w:p>
        </w:tc>
        <w:tc>
          <w:tcPr>
            <w:tcW w:w="2070" w:type="dxa"/>
            <w:vAlign w:val="center"/>
          </w:tcPr>
          <w:p w14:paraId="78D13D36" w14:textId="77777777" w:rsidR="00CE30E3" w:rsidRPr="007D38D9" w:rsidRDefault="00CE30E3" w:rsidP="00D657C0">
            <w:pPr>
              <w:pStyle w:val="BodyText"/>
              <w:spacing w:after="0"/>
              <w:jc w:val="left"/>
            </w:pPr>
            <w:r>
              <w:t>October 17, 2023</w:t>
            </w:r>
          </w:p>
        </w:tc>
        <w:tc>
          <w:tcPr>
            <w:tcW w:w="4315" w:type="dxa"/>
            <w:vAlign w:val="center"/>
          </w:tcPr>
          <w:p w14:paraId="0E264073" w14:textId="77777777" w:rsidR="00CE30E3" w:rsidRPr="007D38D9" w:rsidRDefault="00104E8A" w:rsidP="00D657C0">
            <w:pPr>
              <w:pStyle w:val="BodyText"/>
              <w:spacing w:after="0"/>
              <w:jc w:val="left"/>
            </w:pPr>
            <w:hyperlink r:id="rId15" w:tgtFrame="_blank" w:history="1">
              <w:r w:rsidR="00CE30E3" w:rsidRPr="00735536">
                <w:rPr>
                  <w:rStyle w:val="Hyperlink"/>
                </w:rPr>
                <w:t>www.blueprintexpress.com/albany</w:t>
              </w:r>
            </w:hyperlink>
          </w:p>
        </w:tc>
      </w:tr>
      <w:tr w:rsidR="00CE30E3" w14:paraId="6EEE4346" w14:textId="77777777" w:rsidTr="00D657C0">
        <w:trPr>
          <w:trHeight w:val="432"/>
        </w:trPr>
        <w:tc>
          <w:tcPr>
            <w:tcW w:w="2965" w:type="dxa"/>
            <w:vAlign w:val="center"/>
          </w:tcPr>
          <w:p w14:paraId="7F0C2A0B" w14:textId="77777777" w:rsidR="00CE30E3" w:rsidRDefault="00CE30E3" w:rsidP="00D657C0">
            <w:pPr>
              <w:pStyle w:val="BodyText"/>
              <w:spacing w:after="0"/>
              <w:jc w:val="left"/>
            </w:pPr>
            <w:r>
              <w:t>Bids Due</w:t>
            </w:r>
          </w:p>
        </w:tc>
        <w:tc>
          <w:tcPr>
            <w:tcW w:w="2070" w:type="dxa"/>
            <w:vAlign w:val="center"/>
          </w:tcPr>
          <w:p w14:paraId="10B5D29F" w14:textId="77777777" w:rsidR="00CE30E3" w:rsidRDefault="00CE30E3" w:rsidP="00D657C0">
            <w:pPr>
              <w:pStyle w:val="BodyText"/>
              <w:spacing w:after="0"/>
              <w:jc w:val="left"/>
            </w:pPr>
            <w:r>
              <w:t>October 24, 2023</w:t>
            </w:r>
          </w:p>
        </w:tc>
        <w:tc>
          <w:tcPr>
            <w:tcW w:w="4315" w:type="dxa"/>
            <w:vAlign w:val="center"/>
          </w:tcPr>
          <w:p w14:paraId="2A5DE386" w14:textId="77777777" w:rsidR="00CE30E3" w:rsidRPr="007D38D9" w:rsidRDefault="00CE30E3" w:rsidP="00D657C0">
            <w:pPr>
              <w:pStyle w:val="BodyText"/>
              <w:spacing w:after="0"/>
              <w:jc w:val="left"/>
            </w:pPr>
            <w:r>
              <w:t>2:00 p.m. at 1000 San Pablo Avenue, Albany, CA</w:t>
            </w:r>
          </w:p>
        </w:tc>
      </w:tr>
      <w:tr w:rsidR="00CE30E3" w14:paraId="2013A58B" w14:textId="77777777" w:rsidTr="00D657C0">
        <w:trPr>
          <w:trHeight w:val="432"/>
        </w:trPr>
        <w:tc>
          <w:tcPr>
            <w:tcW w:w="2965" w:type="dxa"/>
            <w:vAlign w:val="center"/>
          </w:tcPr>
          <w:p w14:paraId="4597CC17" w14:textId="77777777" w:rsidR="00CE30E3" w:rsidRDefault="00CE30E3" w:rsidP="00D657C0">
            <w:pPr>
              <w:pStyle w:val="BodyText"/>
              <w:spacing w:after="0"/>
              <w:jc w:val="left"/>
            </w:pPr>
            <w:r>
              <w:t>Award Construction Contract</w:t>
            </w:r>
          </w:p>
        </w:tc>
        <w:tc>
          <w:tcPr>
            <w:tcW w:w="2070" w:type="dxa"/>
            <w:vAlign w:val="center"/>
          </w:tcPr>
          <w:p w14:paraId="6B7D6B57" w14:textId="77777777" w:rsidR="00CE30E3" w:rsidRDefault="00CE30E3" w:rsidP="00D657C0">
            <w:pPr>
              <w:pStyle w:val="BodyText"/>
              <w:spacing w:after="0"/>
              <w:jc w:val="left"/>
            </w:pPr>
            <w:r>
              <w:t>December 2023</w:t>
            </w:r>
          </w:p>
        </w:tc>
        <w:tc>
          <w:tcPr>
            <w:tcW w:w="4315" w:type="dxa"/>
            <w:vAlign w:val="center"/>
          </w:tcPr>
          <w:p w14:paraId="458BD267" w14:textId="77777777" w:rsidR="00CE30E3" w:rsidRPr="007D38D9" w:rsidRDefault="00CE30E3" w:rsidP="00D657C0">
            <w:pPr>
              <w:pStyle w:val="BodyText"/>
              <w:spacing w:after="0"/>
              <w:jc w:val="left"/>
            </w:pPr>
            <w:r>
              <w:t>Estimated</w:t>
            </w:r>
          </w:p>
        </w:tc>
      </w:tr>
      <w:tr w:rsidR="00CE30E3" w14:paraId="3B1C5B9E" w14:textId="77777777" w:rsidTr="00D657C0">
        <w:trPr>
          <w:trHeight w:val="432"/>
        </w:trPr>
        <w:tc>
          <w:tcPr>
            <w:tcW w:w="2965" w:type="dxa"/>
            <w:vAlign w:val="center"/>
          </w:tcPr>
          <w:p w14:paraId="2CC27D18" w14:textId="77777777" w:rsidR="00CE30E3" w:rsidRDefault="00CE30E3" w:rsidP="00D657C0">
            <w:pPr>
              <w:pStyle w:val="BodyText"/>
              <w:spacing w:after="0"/>
              <w:jc w:val="left"/>
            </w:pPr>
            <w:r>
              <w:t>Begin Construction</w:t>
            </w:r>
          </w:p>
        </w:tc>
        <w:tc>
          <w:tcPr>
            <w:tcW w:w="2070" w:type="dxa"/>
            <w:vAlign w:val="center"/>
          </w:tcPr>
          <w:p w14:paraId="3C45D304" w14:textId="77777777" w:rsidR="00CE30E3" w:rsidRDefault="00CE30E3" w:rsidP="00D657C0">
            <w:pPr>
              <w:pStyle w:val="BodyText"/>
              <w:spacing w:after="0"/>
              <w:jc w:val="left"/>
            </w:pPr>
            <w:r>
              <w:t>March 2024</w:t>
            </w:r>
          </w:p>
        </w:tc>
        <w:tc>
          <w:tcPr>
            <w:tcW w:w="4315" w:type="dxa"/>
            <w:vAlign w:val="center"/>
          </w:tcPr>
          <w:p w14:paraId="5DBD1D5D" w14:textId="77777777" w:rsidR="00CE30E3" w:rsidRPr="007D38D9" w:rsidRDefault="00CE30E3" w:rsidP="00D657C0">
            <w:pPr>
              <w:pStyle w:val="BodyText"/>
              <w:spacing w:after="0"/>
              <w:jc w:val="left"/>
            </w:pPr>
            <w:r>
              <w:t>Estimated</w:t>
            </w:r>
          </w:p>
        </w:tc>
      </w:tr>
    </w:tbl>
    <w:p w14:paraId="49F38647" w14:textId="6BD17DCF" w:rsidR="00CE30E3" w:rsidRDefault="00CE30E3" w:rsidP="00CE30E3">
      <w:pPr>
        <w:pStyle w:val="BodyText"/>
      </w:pPr>
    </w:p>
    <w:p w14:paraId="43ED710F" w14:textId="3178AB9E" w:rsidR="00CE30E3" w:rsidRDefault="00CE30E3" w:rsidP="00CE30E3">
      <w:pPr>
        <w:pStyle w:val="BodyText"/>
      </w:pPr>
      <w:r>
        <w:t xml:space="preserve">For further information, contact Allison Carrillo/CIP Program Manager, at </w:t>
      </w:r>
      <w:r w:rsidRPr="00A870FC">
        <w:t xml:space="preserve">acarrillo@albanyca.org </w:t>
      </w:r>
      <w:r>
        <w:t>or (510) 528-5737.</w:t>
      </w:r>
      <w:bookmarkStart w:id="22" w:name="_docxtools_121"/>
      <w:bookmarkEnd w:id="22"/>
    </w:p>
    <w:p w14:paraId="5232FAA7" w14:textId="77777777" w:rsidR="000E5E3F" w:rsidRDefault="000E5E3F" w:rsidP="00CE30E3">
      <w:pPr>
        <w:pStyle w:val="BodyText"/>
      </w:pPr>
      <w:bookmarkStart w:id="23" w:name="_docxtools_122"/>
      <w:bookmarkEnd w:id="23"/>
    </w:p>
    <w:p w14:paraId="0717179B" w14:textId="6BB3222D" w:rsidR="00CE30E3" w:rsidRDefault="00CE30E3" w:rsidP="00CE30E3">
      <w:pPr>
        <w:pStyle w:val="BodyText"/>
      </w:pPr>
      <w:r>
        <w:t>By: ___________________________________</w:t>
      </w:r>
      <w:r>
        <w:tab/>
        <w:t>Date: __</w:t>
      </w:r>
      <w:r w:rsidR="009F604F" w:rsidRPr="009F604F">
        <w:rPr>
          <w:u w:val="single"/>
        </w:rPr>
        <w:t>9/13/2023</w:t>
      </w:r>
      <w:r>
        <w:t xml:space="preserve">____________                               </w:t>
      </w:r>
    </w:p>
    <w:p w14:paraId="1BF14FE8" w14:textId="165742BC" w:rsidR="00CE30E3" w:rsidRDefault="00CE30E3" w:rsidP="00CE30E3">
      <w:pPr>
        <w:pStyle w:val="BodyText"/>
      </w:pPr>
      <w:r>
        <w:t>Publication Dates: 1)          __</w:t>
      </w:r>
      <w:r w:rsidR="00104E8A" w:rsidRPr="00104E8A">
        <w:rPr>
          <w:u w:val="single"/>
        </w:rPr>
        <w:t>9/19/2023</w:t>
      </w:r>
      <w:r>
        <w:t xml:space="preserve">_______       2)      </w:t>
      </w:r>
      <w:r w:rsidRPr="00104E8A">
        <w:rPr>
          <w:u w:val="single"/>
        </w:rPr>
        <w:t>_</w:t>
      </w:r>
      <w:r w:rsidR="00104E8A" w:rsidRPr="00104E8A">
        <w:rPr>
          <w:u w:val="single"/>
        </w:rPr>
        <w:t>9/26/2023</w:t>
      </w:r>
      <w:r>
        <w:t>____________</w:t>
      </w:r>
    </w:p>
    <w:p w14:paraId="13932C69" w14:textId="77777777" w:rsidR="00CE30E3" w:rsidRDefault="00CE30E3" w:rsidP="00CE30E3">
      <w:pPr>
        <w:spacing w:after="240"/>
        <w:jc w:val="center"/>
        <w:outlineLvl w:val="0"/>
        <w:rPr>
          <w:b/>
          <w:caps/>
          <w:szCs w:val="20"/>
        </w:rPr>
      </w:pPr>
    </w:p>
    <w:p w14:paraId="315A4CE4" w14:textId="21489741" w:rsidR="000701D9" w:rsidRDefault="00CE30E3" w:rsidP="00CE30E3">
      <w:pPr>
        <w:spacing w:after="240"/>
        <w:jc w:val="center"/>
        <w:outlineLvl w:val="0"/>
      </w:pPr>
      <w:r>
        <w:rPr>
          <w:b/>
          <w:caps/>
          <w:szCs w:val="20"/>
        </w:rPr>
        <w:t>end of notice inviting bi</w:t>
      </w:r>
      <w:bookmarkStart w:id="24" w:name="_docxtools_123"/>
      <w:bookmarkEnd w:id="24"/>
      <w:r>
        <w:rPr>
          <w:b/>
          <w:caps/>
          <w:szCs w:val="20"/>
        </w:rPr>
        <w:t>D</w:t>
      </w:r>
      <w:bookmarkEnd w:id="1"/>
    </w:p>
    <w:sectPr w:rsidR="000701D9" w:rsidSect="009F604F">
      <w:headerReference w:type="default" r:id="rId16"/>
      <w:footerReference w:type="default" r:id="rId17"/>
      <w:headerReference w:type="first" r:id="rId18"/>
      <w:footerReference w:type="first" r:id="rId19"/>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4DAD0" w14:textId="77777777" w:rsidR="009F604F" w:rsidRDefault="009F604F">
      <w:r>
        <w:separator/>
      </w:r>
    </w:p>
  </w:endnote>
  <w:endnote w:type="continuationSeparator" w:id="0">
    <w:p w14:paraId="0F65EE86" w14:textId="77777777" w:rsidR="009F604F" w:rsidRDefault="009F6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4146"/>
      <w:gridCol w:w="1008"/>
      <w:gridCol w:w="4146"/>
    </w:tblGrid>
    <w:tr w:rsidR="002232BC" w14:paraId="052FA08C" w14:textId="77777777" w:rsidTr="001E4FEB">
      <w:trPr>
        <w:jc w:val="center"/>
      </w:trPr>
      <w:tc>
        <w:tcPr>
          <w:tcW w:w="4146" w:type="dxa"/>
        </w:tcPr>
        <w:p w14:paraId="458D69A1" w14:textId="77777777" w:rsidR="001D5D65" w:rsidRPr="005F557C" w:rsidRDefault="009F604F" w:rsidP="00ED73C0">
          <w:pPr>
            <w:pStyle w:val="Footer"/>
            <w:spacing w:line="200" w:lineRule="exact"/>
            <w:rPr>
              <w:rFonts w:cs="Arial"/>
              <w:bCs/>
              <w:sz w:val="16"/>
              <w:szCs w:val="16"/>
            </w:rPr>
          </w:pPr>
          <w:r>
            <w:rPr>
              <w:rFonts w:cs="Arial"/>
              <w:bCs/>
              <w:sz w:val="16"/>
              <w:szCs w:val="16"/>
            </w:rPr>
            <w:t>SAN PABLO AVENUE PEDESTRIAN IMPROVEMENT PROJECT</w:t>
          </w:r>
        </w:p>
      </w:tc>
      <w:tc>
        <w:tcPr>
          <w:tcW w:w="1008" w:type="dxa"/>
        </w:tcPr>
        <w:p w14:paraId="5D1A17FC" w14:textId="77777777" w:rsidR="001D5D65" w:rsidRDefault="009F604F" w:rsidP="00ED73C0">
          <w:pPr>
            <w:pStyle w:val="Footer"/>
            <w:jc w:val="center"/>
            <w:rPr>
              <w:rStyle w:val="PageNumber"/>
            </w:rPr>
          </w:pPr>
          <w:r>
            <w:rPr>
              <w:rStyle w:val="PageNumber"/>
            </w:rPr>
            <w:t>-</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21</w:t>
          </w:r>
          <w:r>
            <w:rPr>
              <w:rStyle w:val="PageNumber"/>
            </w:rPr>
            <w:fldChar w:fldCharType="end"/>
          </w:r>
          <w:r>
            <w:rPr>
              <w:rStyle w:val="PageNumber"/>
            </w:rPr>
            <w:t>-</w:t>
          </w:r>
        </w:p>
      </w:tc>
      <w:tc>
        <w:tcPr>
          <w:tcW w:w="4146" w:type="dxa"/>
        </w:tcPr>
        <w:p w14:paraId="4D16F7DC" w14:textId="79DF684F" w:rsidR="001D5D65" w:rsidRDefault="009F604F" w:rsidP="00ED73C0">
          <w:pPr>
            <w:pStyle w:val="Footer"/>
            <w:jc w:val="right"/>
            <w:rPr>
              <w:sz w:val="16"/>
            </w:rPr>
          </w:pPr>
          <w:r>
            <w:rPr>
              <w:sz w:val="16"/>
            </w:rPr>
            <w:fldChar w:fldCharType="begin"/>
          </w:r>
          <w:r>
            <w:rPr>
              <w:sz w:val="16"/>
            </w:rPr>
            <w:instrText xml:space="preserve"> STYLEREF  HWDSpec_L1 \t  \* MERGEFORMAT </w:instrText>
          </w:r>
          <w:r>
            <w:rPr>
              <w:sz w:val="16"/>
            </w:rPr>
            <w:fldChar w:fldCharType="separate"/>
          </w:r>
          <w:r w:rsidR="00104E8A">
            <w:rPr>
              <w:noProof/>
              <w:sz w:val="16"/>
            </w:rPr>
            <w:t>00 11 16 – NOTICE INVITING BIDS</w:t>
          </w:r>
          <w:r>
            <w:rPr>
              <w:sz w:val="16"/>
            </w:rPr>
            <w:fldChar w:fldCharType="end"/>
          </w:r>
        </w:p>
      </w:tc>
    </w:tr>
  </w:tbl>
  <w:p w14:paraId="0F2EC45F" w14:textId="77777777" w:rsidR="001D5D65" w:rsidRDefault="009F604F" w:rsidP="001D084F">
    <w:pPr>
      <w:pStyle w:val="Footer"/>
    </w:pPr>
    <w:r>
      <w:rPr>
        <w:noProof/>
      </w:rPr>
      <mc:AlternateContent>
        <mc:Choice Requires="wps">
          <w:drawing>
            <wp:anchor distT="0" distB="0" distL="114300" distR="114300" simplePos="0" relativeHeight="251659264" behindDoc="1" locked="0" layoutInCell="1" allowOverlap="1" wp14:anchorId="77F13A2C" wp14:editId="7C51AD8E">
              <wp:simplePos x="0" y="0"/>
              <wp:positionH relativeFrom="margin">
                <wp:posOffset>0</wp:posOffset>
              </wp:positionH>
              <wp:positionV relativeFrom="paragraph">
                <wp:posOffset>0</wp:posOffset>
              </wp:positionV>
              <wp:extent cx="2560320" cy="255905"/>
              <wp:effectExtent l="0" t="0" r="11430" b="10795"/>
              <wp:wrapNone/>
              <wp:docPr id="6" name="zzmpTrailer_1078_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D72CB" w14:textId="77777777" w:rsidR="001D5D65" w:rsidRDefault="009F604F" w:rsidP="001D084F">
                          <w:pPr>
                            <w:pStyle w:val="MacPacTrailer"/>
                          </w:pPr>
                          <w:r>
                            <w:t>38159.00008\40898900.1</w:t>
                          </w:r>
                        </w:p>
                        <w:p w14:paraId="4FE985D9" w14:textId="77777777" w:rsidR="001D5D65" w:rsidRDefault="001D5D65" w:rsidP="001D084F">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F13A2C" id="_x0000_t202" coordsize="21600,21600" o:spt="202" path="m,l,21600r21600,l21600,xe">
              <v:stroke joinstyle="miter"/>
              <v:path gradientshapeok="t" o:connecttype="rect"/>
            </v:shapetype>
            <v:shape id="zzmpTrailer_1078_39" o:spid="_x0000_s1026" type="#_x0000_t202" style="position:absolute;margin-left:0;margin-top:0;width:201.6pt;height:20.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" filled="f" stroked="f">
              <v:textbox inset="0,0,0,0">
                <w:txbxContent>
                  <w:p w14:paraId="05BD72CB" w14:textId="77777777" w:rsidR="00000000" w:rsidRDefault="00000000" w:rsidP="001D084F">
                    <w:pPr>
                      <w:pStyle w:val="MacPacTrailer"/>
                    </w:pPr>
                    <w:r>
                      <w:t>38159.00008\40898900.1</w:t>
                    </w:r>
                  </w:p>
                  <w:p w14:paraId="4FE985D9" w14:textId="77777777" w:rsidR="00000000" w:rsidRDefault="00000000" w:rsidP="001D084F">
                    <w:pPr>
                      <w:pStyle w:val="MacPacTraile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F78D4" w14:textId="77777777" w:rsidR="001D5D65" w:rsidRDefault="001D5D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78012" w14:textId="77777777" w:rsidR="009F604F" w:rsidRDefault="009F604F">
      <w:r>
        <w:separator/>
      </w:r>
    </w:p>
  </w:footnote>
  <w:footnote w:type="continuationSeparator" w:id="0">
    <w:p w14:paraId="582D1E90" w14:textId="77777777" w:rsidR="009F604F" w:rsidRDefault="009F6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6C28D" w14:textId="77777777" w:rsidR="001D5D65" w:rsidRDefault="001D5D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F08F1" w14:textId="77777777" w:rsidR="001D5D65" w:rsidRDefault="001D5D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A500E"/>
    <w:multiLevelType w:val="multilevel"/>
    <w:tmpl w:val="735857E2"/>
    <w:name w:val="zzmpHWDSpec||HWDSpec|3|1|1|0|10|41||1|10|41||1|10|1||1|10|1||1|10|0||1|10|0||1|10|0||1|10|0||1|10|0||"/>
    <w:lvl w:ilvl="0">
      <w:start w:val="1"/>
      <w:numFmt w:val="none"/>
      <w:pStyle w:val="HWDSpecL1"/>
      <w:suff w:val="nothing"/>
      <w:lvlText w:val=""/>
      <w:lvlJc w:val="left"/>
      <w:pPr>
        <w:ind w:left="0" w:firstLine="0"/>
      </w:pPr>
      <w:rPr>
        <w:rFonts w:hint="default"/>
        <w:b w:val="0"/>
        <w:i w:val="0"/>
        <w:caps w:val="0"/>
        <w:smallCaps w:val="0"/>
        <w:u w:val="none"/>
      </w:rPr>
    </w:lvl>
    <w:lvl w:ilvl="1">
      <w:start w:val="1"/>
      <w:numFmt w:val="decimal"/>
      <w:pStyle w:val="HWDSpecL2"/>
      <w:lvlText w:val="ARTICLE %2."/>
      <w:lvlJc w:val="left"/>
      <w:pPr>
        <w:tabs>
          <w:tab w:val="num" w:pos="1440"/>
        </w:tabs>
        <w:ind w:left="720" w:hanging="720"/>
      </w:pPr>
      <w:rPr>
        <w:rFonts w:hint="default"/>
        <w:b/>
        <w:i w:val="0"/>
        <w:caps w:val="0"/>
        <w:u w:val="none"/>
      </w:rPr>
    </w:lvl>
    <w:lvl w:ilvl="2">
      <w:start w:val="1"/>
      <w:numFmt w:val="upperLetter"/>
      <w:pStyle w:val="HWDSpecL3"/>
      <w:lvlText w:val="%3."/>
      <w:lvlJc w:val="left"/>
      <w:pPr>
        <w:tabs>
          <w:tab w:val="num" w:pos="1170"/>
        </w:tabs>
        <w:ind w:left="1170" w:hanging="360"/>
      </w:pPr>
      <w:rPr>
        <w:rFonts w:hint="default"/>
        <w:b w:val="0"/>
        <w:i w:val="0"/>
        <w:caps w:val="0"/>
        <w:sz w:val="22"/>
        <w:u w:val="none"/>
      </w:rPr>
    </w:lvl>
    <w:lvl w:ilvl="3">
      <w:start w:val="1"/>
      <w:numFmt w:val="decimal"/>
      <w:pStyle w:val="HWDSpecL4"/>
      <w:lvlText w:val="%4."/>
      <w:lvlJc w:val="left"/>
      <w:pPr>
        <w:tabs>
          <w:tab w:val="num" w:pos="1440"/>
        </w:tabs>
        <w:ind w:left="1440" w:hanging="360"/>
      </w:pPr>
      <w:rPr>
        <w:rFonts w:hint="default"/>
        <w:b w:val="0"/>
        <w:i w:val="0"/>
        <w:caps w:val="0"/>
        <w:u w:val="none"/>
      </w:rPr>
    </w:lvl>
    <w:lvl w:ilvl="4">
      <w:start w:val="1"/>
      <w:numFmt w:val="lowerLetter"/>
      <w:pStyle w:val="HWDSpecL5"/>
      <w:lvlText w:val="%5."/>
      <w:lvlJc w:val="left"/>
      <w:pPr>
        <w:tabs>
          <w:tab w:val="num" w:pos="360"/>
        </w:tabs>
        <w:ind w:left="360" w:hanging="360"/>
      </w:pPr>
      <w:rPr>
        <w:rFonts w:hint="default"/>
        <w:b w:val="0"/>
        <w:i w:val="0"/>
        <w:caps w:val="0"/>
        <w:u w:val="none"/>
      </w:rPr>
    </w:lvl>
    <w:lvl w:ilvl="5">
      <w:start w:val="1"/>
      <w:numFmt w:val="lowerRoman"/>
      <w:pStyle w:val="HWDSpecL6"/>
      <w:lvlText w:val="%6."/>
      <w:lvlJc w:val="left"/>
      <w:pPr>
        <w:tabs>
          <w:tab w:val="num" w:pos="2250"/>
        </w:tabs>
        <w:ind w:left="2250" w:hanging="360"/>
      </w:pPr>
      <w:rPr>
        <w:rFonts w:hint="default"/>
        <w:b w:val="0"/>
        <w:i w:val="0"/>
        <w:caps w:val="0"/>
        <w:u w:val="none"/>
      </w:rPr>
    </w:lvl>
    <w:lvl w:ilvl="6">
      <w:start w:val="1"/>
      <w:numFmt w:val="decimal"/>
      <w:pStyle w:val="HWDSpecL7"/>
      <w:lvlText w:val="%7."/>
      <w:lvlJc w:val="left"/>
      <w:pPr>
        <w:tabs>
          <w:tab w:val="num" w:pos="1440"/>
        </w:tabs>
        <w:ind w:left="1440" w:hanging="360"/>
      </w:pPr>
      <w:rPr>
        <w:rFonts w:hint="default"/>
        <w:b w:val="0"/>
        <w:i w:val="0"/>
        <w:caps w:val="0"/>
        <w:u w:val="none"/>
      </w:rPr>
    </w:lvl>
    <w:lvl w:ilvl="7">
      <w:start w:val="1"/>
      <w:numFmt w:val="lowerLetter"/>
      <w:pStyle w:val="HWDSpecL8"/>
      <w:lvlText w:val="%8."/>
      <w:lvlJc w:val="left"/>
      <w:pPr>
        <w:tabs>
          <w:tab w:val="num" w:pos="2160"/>
        </w:tabs>
        <w:ind w:left="1800" w:hanging="360"/>
      </w:pPr>
      <w:rPr>
        <w:rFonts w:hint="default"/>
        <w:b w:val="0"/>
        <w:i w:val="0"/>
        <w:caps w:val="0"/>
        <w:u w:val="none"/>
      </w:rPr>
    </w:lvl>
    <w:lvl w:ilvl="8">
      <w:start w:val="1"/>
      <w:numFmt w:val="lowerRoman"/>
      <w:pStyle w:val="HWDSpecL9"/>
      <w:lvlText w:val="%9."/>
      <w:lvlJc w:val="right"/>
      <w:pPr>
        <w:tabs>
          <w:tab w:val="num" w:pos="1080"/>
        </w:tabs>
        <w:ind w:left="1080" w:hanging="360"/>
      </w:pPr>
      <w:rPr>
        <w:rFonts w:hint="default"/>
        <w:b w:val="0"/>
        <w:i w:val="0"/>
        <w:caps w:val="0"/>
        <w:u w:val="none"/>
      </w:rPr>
    </w:lvl>
  </w:abstractNum>
  <w:num w:numId="1" w16cid:durableId="1685784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003"/>
    <w:rsid w:val="000701D9"/>
    <w:rsid w:val="000E5E3F"/>
    <w:rsid w:val="00104E8A"/>
    <w:rsid w:val="001D5D65"/>
    <w:rsid w:val="00431003"/>
    <w:rsid w:val="009F604F"/>
    <w:rsid w:val="00CE3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5BA0B"/>
  <w15:chartTrackingRefBased/>
  <w15:docId w15:val="{57F831CE-9B90-4DB8-8D90-4C7E200E2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0E3"/>
    <w:pPr>
      <w:spacing w:after="0" w:line="240" w:lineRule="auto"/>
    </w:pPr>
    <w:rPr>
      <w:rFonts w:ascii="Arial" w:eastAsia="Times New Roman" w:hAnsi="Arial" w:cs="Times New Roman"/>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cPacTrailer">
    <w:name w:val="MacPac Trailer"/>
    <w:rsid w:val="00CE30E3"/>
    <w:pPr>
      <w:widowControl w:val="0"/>
      <w:spacing w:after="0" w:line="200" w:lineRule="exact"/>
    </w:pPr>
    <w:rPr>
      <w:rFonts w:ascii="Times New Roman" w:eastAsia="Times New Roman" w:hAnsi="Times New Roman" w:cs="Times New Roman"/>
      <w:kern w:val="0"/>
      <w:sz w:val="16"/>
      <w14:ligatures w14:val="none"/>
    </w:rPr>
  </w:style>
  <w:style w:type="paragraph" w:styleId="BodyText">
    <w:name w:val="Body Text"/>
    <w:basedOn w:val="Normal"/>
    <w:link w:val="BodyTextChar"/>
    <w:rsid w:val="00CE30E3"/>
    <w:pPr>
      <w:spacing w:after="240"/>
      <w:jc w:val="both"/>
    </w:pPr>
  </w:style>
  <w:style w:type="character" w:customStyle="1" w:styleId="BodyTextChar">
    <w:name w:val="Body Text Char"/>
    <w:basedOn w:val="DefaultParagraphFont"/>
    <w:link w:val="BodyText"/>
    <w:rsid w:val="00CE30E3"/>
    <w:rPr>
      <w:rFonts w:ascii="Arial" w:eastAsia="Times New Roman" w:hAnsi="Arial" w:cs="Times New Roman"/>
      <w:kern w:val="0"/>
      <w:szCs w:val="24"/>
      <w14:ligatures w14:val="none"/>
    </w:rPr>
  </w:style>
  <w:style w:type="paragraph" w:styleId="Footer">
    <w:name w:val="footer"/>
    <w:basedOn w:val="Normal"/>
    <w:link w:val="FooterChar"/>
    <w:uiPriority w:val="99"/>
    <w:rsid w:val="00CE30E3"/>
    <w:pPr>
      <w:tabs>
        <w:tab w:val="center" w:pos="4680"/>
        <w:tab w:val="right" w:pos="9360"/>
      </w:tabs>
    </w:pPr>
  </w:style>
  <w:style w:type="character" w:customStyle="1" w:styleId="FooterChar">
    <w:name w:val="Footer Char"/>
    <w:basedOn w:val="DefaultParagraphFont"/>
    <w:link w:val="Footer"/>
    <w:uiPriority w:val="99"/>
    <w:rsid w:val="00CE30E3"/>
    <w:rPr>
      <w:rFonts w:ascii="Arial" w:eastAsia="Times New Roman" w:hAnsi="Arial" w:cs="Times New Roman"/>
      <w:kern w:val="0"/>
      <w:szCs w:val="24"/>
      <w14:ligatures w14:val="none"/>
    </w:rPr>
  </w:style>
  <w:style w:type="paragraph" w:styleId="Header">
    <w:name w:val="header"/>
    <w:basedOn w:val="Normal"/>
    <w:link w:val="HeaderChar"/>
    <w:uiPriority w:val="99"/>
    <w:rsid w:val="00CE30E3"/>
    <w:pPr>
      <w:tabs>
        <w:tab w:val="center" w:pos="4680"/>
        <w:tab w:val="right" w:pos="9360"/>
      </w:tabs>
    </w:pPr>
  </w:style>
  <w:style w:type="character" w:customStyle="1" w:styleId="HeaderChar">
    <w:name w:val="Header Char"/>
    <w:basedOn w:val="DefaultParagraphFont"/>
    <w:link w:val="Header"/>
    <w:uiPriority w:val="99"/>
    <w:rsid w:val="00CE30E3"/>
    <w:rPr>
      <w:rFonts w:ascii="Arial" w:eastAsia="Times New Roman" w:hAnsi="Arial" w:cs="Times New Roman"/>
      <w:kern w:val="0"/>
      <w:szCs w:val="24"/>
      <w14:ligatures w14:val="none"/>
    </w:rPr>
  </w:style>
  <w:style w:type="character" w:styleId="PageNumber">
    <w:name w:val="page number"/>
    <w:rsid w:val="00CE30E3"/>
    <w:rPr>
      <w:rFonts w:cs="Times New Roman"/>
    </w:rPr>
  </w:style>
  <w:style w:type="table" w:styleId="TableGrid">
    <w:name w:val="Table Grid"/>
    <w:basedOn w:val="TableNormal"/>
    <w:rsid w:val="00CE30E3"/>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30E3"/>
    <w:rPr>
      <w:color w:val="0563C1" w:themeColor="hyperlink"/>
      <w:u w:val="single"/>
    </w:rPr>
  </w:style>
  <w:style w:type="paragraph" w:customStyle="1" w:styleId="HWDSpecL1">
    <w:name w:val="HWDSpec_L1"/>
    <w:basedOn w:val="Normal"/>
    <w:next w:val="BodyText"/>
    <w:link w:val="HWDSpecL1Char"/>
    <w:rsid w:val="00CE30E3"/>
    <w:pPr>
      <w:keepNext/>
      <w:numPr>
        <w:numId w:val="1"/>
      </w:numPr>
      <w:spacing w:after="360"/>
      <w:jc w:val="center"/>
      <w:outlineLvl w:val="0"/>
    </w:pPr>
    <w:rPr>
      <w:rFonts w:cs="Arial"/>
      <w:b/>
      <w:caps/>
      <w:szCs w:val="20"/>
    </w:rPr>
  </w:style>
  <w:style w:type="character" w:customStyle="1" w:styleId="HWDSpecL1Char">
    <w:name w:val="HWDSpec_L1 Char"/>
    <w:link w:val="HWDSpecL1"/>
    <w:rsid w:val="00CE30E3"/>
    <w:rPr>
      <w:rFonts w:ascii="Arial" w:eastAsia="Times New Roman" w:hAnsi="Arial" w:cs="Arial"/>
      <w:b/>
      <w:caps/>
      <w:kern w:val="0"/>
      <w:szCs w:val="20"/>
      <w14:ligatures w14:val="none"/>
    </w:rPr>
  </w:style>
  <w:style w:type="paragraph" w:customStyle="1" w:styleId="HWDSpecL2">
    <w:name w:val="HWDSpec_L2"/>
    <w:basedOn w:val="HWDSpecL1"/>
    <w:next w:val="BodyText"/>
    <w:rsid w:val="00CE30E3"/>
    <w:pPr>
      <w:numPr>
        <w:ilvl w:val="1"/>
      </w:numPr>
      <w:tabs>
        <w:tab w:val="clear" w:pos="1440"/>
        <w:tab w:val="num" w:pos="360"/>
      </w:tabs>
      <w:spacing w:after="240"/>
      <w:jc w:val="both"/>
      <w:outlineLvl w:val="1"/>
    </w:pPr>
  </w:style>
  <w:style w:type="paragraph" w:customStyle="1" w:styleId="HWDSpecL3">
    <w:name w:val="HWDSpec_L3"/>
    <w:basedOn w:val="HWDSpecL2"/>
    <w:next w:val="BodyText"/>
    <w:rsid w:val="00CE30E3"/>
    <w:pPr>
      <w:keepNext w:val="0"/>
      <w:numPr>
        <w:ilvl w:val="2"/>
      </w:numPr>
      <w:tabs>
        <w:tab w:val="clear" w:pos="1170"/>
        <w:tab w:val="num" w:pos="360"/>
        <w:tab w:val="num" w:pos="1080"/>
      </w:tabs>
      <w:ind w:left="1080"/>
      <w:outlineLvl w:val="2"/>
    </w:pPr>
    <w:rPr>
      <w:b w:val="0"/>
      <w:caps w:val="0"/>
    </w:rPr>
  </w:style>
  <w:style w:type="paragraph" w:customStyle="1" w:styleId="HWDSpecL4">
    <w:name w:val="HWDSpec_L4"/>
    <w:basedOn w:val="HWDSpecL3"/>
    <w:next w:val="BodyText"/>
    <w:rsid w:val="00CE30E3"/>
    <w:pPr>
      <w:numPr>
        <w:ilvl w:val="3"/>
      </w:numPr>
      <w:tabs>
        <w:tab w:val="num" w:pos="360"/>
        <w:tab w:val="num" w:pos="1080"/>
      </w:tabs>
      <w:outlineLvl w:val="3"/>
    </w:pPr>
  </w:style>
  <w:style w:type="paragraph" w:customStyle="1" w:styleId="HWDSpecL5">
    <w:name w:val="HWDSpec_L5"/>
    <w:basedOn w:val="HWDSpecL4"/>
    <w:next w:val="BodyText"/>
    <w:rsid w:val="00CE30E3"/>
    <w:pPr>
      <w:numPr>
        <w:ilvl w:val="4"/>
      </w:numPr>
      <w:outlineLvl w:val="4"/>
    </w:pPr>
  </w:style>
  <w:style w:type="paragraph" w:customStyle="1" w:styleId="HWDSpecL6">
    <w:name w:val="HWDSpec_L6"/>
    <w:basedOn w:val="HWDSpecL5"/>
    <w:next w:val="BodyText"/>
    <w:rsid w:val="00CE30E3"/>
    <w:pPr>
      <w:numPr>
        <w:ilvl w:val="5"/>
      </w:numPr>
      <w:tabs>
        <w:tab w:val="num" w:pos="360"/>
        <w:tab w:val="num" w:pos="1080"/>
      </w:tabs>
      <w:outlineLvl w:val="5"/>
    </w:pPr>
  </w:style>
  <w:style w:type="paragraph" w:customStyle="1" w:styleId="HWDSpecL7">
    <w:name w:val="HWDSpec_L7"/>
    <w:basedOn w:val="HWDSpecL6"/>
    <w:next w:val="BodyText"/>
    <w:rsid w:val="00CE30E3"/>
    <w:pPr>
      <w:numPr>
        <w:ilvl w:val="6"/>
      </w:numPr>
      <w:tabs>
        <w:tab w:val="clear" w:pos="1440"/>
        <w:tab w:val="num" w:pos="360"/>
        <w:tab w:val="num" w:pos="1080"/>
      </w:tabs>
      <w:outlineLvl w:val="6"/>
    </w:pPr>
  </w:style>
  <w:style w:type="paragraph" w:customStyle="1" w:styleId="HWDSpecL8">
    <w:name w:val="HWDSpec_L8"/>
    <w:basedOn w:val="HWDSpecL7"/>
    <w:next w:val="BodyText"/>
    <w:rsid w:val="00CE30E3"/>
    <w:pPr>
      <w:numPr>
        <w:ilvl w:val="7"/>
      </w:numPr>
      <w:tabs>
        <w:tab w:val="clear" w:pos="2160"/>
        <w:tab w:val="num" w:pos="360"/>
        <w:tab w:val="num" w:pos="1080"/>
      </w:tabs>
      <w:outlineLvl w:val="7"/>
    </w:pPr>
  </w:style>
  <w:style w:type="paragraph" w:customStyle="1" w:styleId="HWDSpecL9">
    <w:name w:val="HWDSpec_L9"/>
    <w:basedOn w:val="HWDSpecL8"/>
    <w:next w:val="BodyText"/>
    <w:rsid w:val="00CE30E3"/>
    <w:pPr>
      <w:numPr>
        <w:ilvl w:val="8"/>
      </w:numPr>
      <w:tabs>
        <w:tab w:val="clear" w:pos="1080"/>
        <w:tab w:val="num" w:pos="360"/>
      </w:tabs>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hmond@bpxpress.com" TargetMode="External"/><Relationship Id="rId13" Type="http://schemas.openxmlformats.org/officeDocument/2006/relationships/hyperlink" Target="http://www.wdol.gov"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blueprintexpress.com/albany" TargetMode="External"/><Relationship Id="rId12" Type="http://schemas.openxmlformats.org/officeDocument/2006/relationships/hyperlink" Target="http://www.blueprintexpress.com/albany"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ueprintexpress.com/albany" TargetMode="External"/><Relationship Id="rId5" Type="http://schemas.openxmlformats.org/officeDocument/2006/relationships/footnotes" Target="footnotes.xml"/><Relationship Id="rId15" Type="http://schemas.openxmlformats.org/officeDocument/2006/relationships/hyperlink" Target="http://www.blueprintexpress.com/albany" TargetMode="External"/><Relationship Id="rId10" Type="http://schemas.openxmlformats.org/officeDocument/2006/relationships/hyperlink" Target="http://www.blueprintexpress.com/albany"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blueprintexpress.com/albany" TargetMode="External"/><Relationship Id="rId14" Type="http://schemas.openxmlformats.org/officeDocument/2006/relationships/hyperlink" Target="https://www.albanyca.org/departments/public-wor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1586</Words>
  <Characters>9041</Characters>
  <Application>Microsoft Office Word</Application>
  <DocSecurity>4</DocSecurity>
  <Lines>75</Lines>
  <Paragraphs>21</Paragraphs>
  <ScaleCrop>false</ScaleCrop>
  <Company/>
  <LinksUpToDate>false</LinksUpToDate>
  <CharactersWithSpaces>10606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Goryl</dc:creator>
  <cp:keywords/>
  <dc:description/>
  <cp:lastModifiedBy>Allison Carrillo</cp:lastModifiedBy>
  <cp:revision>2</cp:revision>
  <dcterms:created xsi:type="dcterms:W3CDTF">2023-09-13T23:35:00Z</dcterms:created>
  <dcterms:modified xsi:type="dcterms:W3CDTF">2023-09-13T23:35:00Z</dcterms:modified>
</cp:coreProperties>
</file>